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1">
      <w:pPr>
        <w:tabs>
          <w:tab w:val="left" w:pos="2696"/>
          <w:tab w:val="left" w:pos="8841"/>
        </w:tabs>
        <w:ind w:left="720" w:hanging="720"/>
        <w:contextualSpacing w:val="0"/>
        <w:jc w:val="both"/>
        <w:rPr>
          <w:sz w:val="24"/>
          <w:szCs w:val="24"/>
          <w:vertAlign w:val="baseline"/>
        </w:rPr>
      </w:pPr>
      <w:r w:rsidDel="00000000" w:rsidR="00000000" w:rsidRPr="00000000">
        <w:rPr>
          <w:sz w:val="24"/>
          <w:szCs w:val="24"/>
          <w:vertAlign w:val="baseline"/>
          <w:rtl w:val="0"/>
        </w:rPr>
        <w:tab/>
        <w:tab/>
        <w:tab/>
      </w:r>
    </w:p>
    <w:p w:rsidR="00000000" w:rsidDel="00000000" w:rsidP="00000000" w:rsidRDefault="00000000" w:rsidRPr="00000000" w14:paraId="00000002">
      <w:pPr>
        <w:ind w:left="720" w:hanging="720"/>
        <w:contextualSpacing w:val="0"/>
        <w:jc w:val="center"/>
        <w:rPr>
          <w:rFonts w:ascii="Asap" w:cs="Asap" w:eastAsia="Asap" w:hAnsi="Asap"/>
          <w:sz w:val="24"/>
          <w:szCs w:val="24"/>
          <w:u w:val="single"/>
          <w:vertAlign w:val="baseline"/>
        </w:rPr>
      </w:pPr>
      <w:r w:rsidDel="00000000" w:rsidR="00000000" w:rsidRPr="00000000">
        <w:rPr>
          <w:rFonts w:ascii="Asap" w:cs="Asap" w:eastAsia="Asap" w:hAnsi="Asap"/>
          <w:b w:val="1"/>
          <w:sz w:val="24"/>
          <w:szCs w:val="24"/>
          <w:u w:val="single"/>
          <w:vertAlign w:val="baseline"/>
          <w:rtl w:val="0"/>
        </w:rPr>
        <w:t xml:space="preserve">INDICE </w:t>
      </w:r>
      <w:r w:rsidDel="00000000" w:rsidR="00000000" w:rsidRPr="00000000">
        <w:rPr>
          <w:rtl w:val="0"/>
        </w:rPr>
      </w:r>
    </w:p>
    <w:p w:rsidR="00000000" w:rsidDel="00000000" w:rsidP="00000000" w:rsidRDefault="00000000" w:rsidRPr="00000000" w14:paraId="00000003">
      <w:pPr>
        <w:ind w:left="720" w:hanging="720"/>
        <w:contextualSpacing w:val="0"/>
        <w:jc w:val="center"/>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04">
      <w:pPr>
        <w:ind w:left="720" w:hanging="720"/>
        <w:contextualSpacing w:val="0"/>
        <w:jc w:val="center"/>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05">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1</w:t>
      </w:r>
      <w:r w:rsidDel="00000000" w:rsidR="00000000" w:rsidRPr="00000000">
        <w:rPr>
          <w:rFonts w:ascii="Asap" w:cs="Asap" w:eastAsia="Asap" w:hAnsi="Asap"/>
          <w:sz w:val="24"/>
          <w:szCs w:val="24"/>
          <w:vertAlign w:val="baseline"/>
          <w:rtl w:val="0"/>
        </w:rPr>
        <w:t xml:space="preserve">-</w:t>
        <w:tab/>
        <w:t xml:space="preserve">Objeto</w:t>
        <w:tab/>
      </w:r>
    </w:p>
    <w:p w:rsidR="00000000" w:rsidDel="00000000" w:rsidP="00000000" w:rsidRDefault="00000000" w:rsidRPr="00000000" w14:paraId="00000006">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7">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2</w:t>
      </w:r>
      <w:r w:rsidDel="00000000" w:rsidR="00000000" w:rsidRPr="00000000">
        <w:rPr>
          <w:rFonts w:ascii="Asap" w:cs="Asap" w:eastAsia="Asap" w:hAnsi="Asap"/>
          <w:sz w:val="24"/>
          <w:szCs w:val="24"/>
          <w:vertAlign w:val="baseline"/>
          <w:rtl w:val="0"/>
        </w:rPr>
        <w:t xml:space="preserve">-</w:t>
        <w:tab/>
        <w:t xml:space="preserve">Alcance</w:t>
        <w:tab/>
      </w:r>
    </w:p>
    <w:p w:rsidR="00000000" w:rsidDel="00000000" w:rsidP="00000000" w:rsidRDefault="00000000" w:rsidRPr="00000000" w14:paraId="00000008">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9">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3</w:t>
      </w:r>
      <w:r w:rsidDel="00000000" w:rsidR="00000000" w:rsidRPr="00000000">
        <w:rPr>
          <w:rFonts w:ascii="Asap" w:cs="Asap" w:eastAsia="Asap" w:hAnsi="Asap"/>
          <w:sz w:val="24"/>
          <w:szCs w:val="24"/>
          <w:vertAlign w:val="baseline"/>
          <w:rtl w:val="0"/>
        </w:rPr>
        <w:t xml:space="preserve">-</w:t>
        <w:tab/>
        <w:t xml:space="preserve">Definiciones</w:t>
        <w:tab/>
      </w:r>
    </w:p>
    <w:p w:rsidR="00000000" w:rsidDel="00000000" w:rsidP="00000000" w:rsidRDefault="00000000" w:rsidRPr="00000000" w14:paraId="0000000A">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B">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4</w:t>
      </w:r>
      <w:r w:rsidDel="00000000" w:rsidR="00000000" w:rsidRPr="00000000">
        <w:rPr>
          <w:rFonts w:ascii="Asap" w:cs="Asap" w:eastAsia="Asap" w:hAnsi="Asap"/>
          <w:sz w:val="24"/>
          <w:szCs w:val="24"/>
          <w:vertAlign w:val="baseline"/>
          <w:rtl w:val="0"/>
        </w:rPr>
        <w:t xml:space="preserve">-</w:t>
        <w:tab/>
        <w:t xml:space="preserve">Responsabilidades</w:t>
      </w:r>
    </w:p>
    <w:p w:rsidR="00000000" w:rsidDel="00000000" w:rsidP="00000000" w:rsidRDefault="00000000" w:rsidRPr="00000000" w14:paraId="0000000C">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D">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5</w:t>
      </w:r>
      <w:r w:rsidDel="00000000" w:rsidR="00000000" w:rsidRPr="00000000">
        <w:rPr>
          <w:rFonts w:ascii="Asap" w:cs="Asap" w:eastAsia="Asap" w:hAnsi="Asap"/>
          <w:sz w:val="24"/>
          <w:szCs w:val="24"/>
          <w:vertAlign w:val="baseline"/>
          <w:rtl w:val="0"/>
        </w:rPr>
        <w:t xml:space="preserve">-</w:t>
        <w:tab/>
        <w:t xml:space="preserve">Procedimiento</w:t>
        <w:tab/>
      </w:r>
    </w:p>
    <w:p w:rsidR="00000000" w:rsidDel="00000000" w:rsidP="00000000" w:rsidRDefault="00000000" w:rsidRPr="00000000" w14:paraId="0000000E">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F">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6</w:t>
      </w:r>
      <w:r w:rsidDel="00000000" w:rsidR="00000000" w:rsidRPr="00000000">
        <w:rPr>
          <w:rFonts w:ascii="Asap" w:cs="Asap" w:eastAsia="Asap" w:hAnsi="Asap"/>
          <w:sz w:val="24"/>
          <w:szCs w:val="24"/>
          <w:vertAlign w:val="baseline"/>
          <w:rtl w:val="0"/>
        </w:rPr>
        <w:t xml:space="preserve">-</w:t>
        <w:tab/>
        <w:t xml:space="preserve">Registros</w:t>
      </w:r>
    </w:p>
    <w:p w:rsidR="00000000" w:rsidDel="00000000" w:rsidP="00000000" w:rsidRDefault="00000000" w:rsidRPr="00000000" w14:paraId="00000010">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11">
      <w:pPr>
        <w:ind w:left="720" w:hanging="720"/>
        <w:contextualSpacing w:val="0"/>
        <w:rPr>
          <w:rFonts w:ascii="Asap" w:cs="Asap" w:eastAsia="Asap" w:hAnsi="Asap"/>
          <w:sz w:val="24"/>
          <w:szCs w:val="24"/>
          <w:u w:val="single"/>
          <w:vertAlign w:val="baseline"/>
        </w:rPr>
      </w:pPr>
      <w:r w:rsidDel="00000000" w:rsidR="00000000" w:rsidRPr="00000000">
        <w:rPr>
          <w:rFonts w:ascii="Asap" w:cs="Asap" w:eastAsia="Asap" w:hAnsi="Asap"/>
          <w:b w:val="1"/>
          <w:sz w:val="24"/>
          <w:szCs w:val="24"/>
          <w:vertAlign w:val="baseline"/>
          <w:rtl w:val="0"/>
        </w:rPr>
        <w:t xml:space="preserve">7</w:t>
      </w:r>
      <w:r w:rsidDel="00000000" w:rsidR="00000000" w:rsidRPr="00000000">
        <w:rPr>
          <w:rFonts w:ascii="Asap" w:cs="Asap" w:eastAsia="Asap" w:hAnsi="Asap"/>
          <w:sz w:val="24"/>
          <w:szCs w:val="24"/>
          <w:vertAlign w:val="baseline"/>
          <w:rtl w:val="0"/>
        </w:rPr>
        <w:t xml:space="preserve">-</w:t>
        <w:tab/>
        <w:t xml:space="preserve">Anexos</w:t>
      </w:r>
      <w:r w:rsidDel="00000000" w:rsidR="00000000" w:rsidRPr="00000000">
        <w:rPr>
          <w:rtl w:val="0"/>
        </w:rPr>
      </w:r>
    </w:p>
    <w:p w:rsidR="00000000" w:rsidDel="00000000" w:rsidP="00000000" w:rsidRDefault="00000000" w:rsidRPr="00000000" w14:paraId="00000012">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3">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4">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5">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6">
      <w:pPr>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7">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8">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9">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A">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B">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C">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D">
      <w:pPr>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E">
      <w:pPr>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1F">
      <w:pPr>
        <w:ind w:left="720" w:hanging="720"/>
        <w:contextualSpacing w:val="0"/>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20">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1">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2">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3">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4">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5">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6">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7">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8">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9">
      <w:pPr>
        <w:contextualSpacing w:val="0"/>
        <w:rPr>
          <w:rFonts w:ascii="Asap" w:cs="Asap" w:eastAsia="Asap" w:hAnsi="Asap"/>
          <w:sz w:val="24"/>
          <w:szCs w:val="24"/>
          <w:u w:val="single"/>
        </w:rPr>
      </w:pPr>
      <w:r w:rsidDel="00000000" w:rsidR="00000000" w:rsidRPr="00000000">
        <w:rPr>
          <w:rtl w:val="0"/>
        </w:rPr>
      </w:r>
    </w:p>
    <w:p w:rsidR="00000000" w:rsidDel="00000000" w:rsidP="00000000" w:rsidRDefault="00000000" w:rsidRPr="00000000" w14:paraId="0000002A">
      <w:pPr>
        <w:contextualSpacing w:val="0"/>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 </w:t>
      </w:r>
    </w:p>
    <w:p w:rsidR="00000000" w:rsidDel="00000000" w:rsidP="00000000" w:rsidRDefault="00000000" w:rsidRPr="00000000" w14:paraId="0000002B">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OBJETO</w:t>
      </w:r>
      <w:r w:rsidDel="00000000" w:rsidR="00000000" w:rsidRPr="00000000">
        <w:rPr>
          <w:rtl w:val="0"/>
        </w:rPr>
      </w:r>
    </w:p>
    <w:p w:rsidR="00000000" w:rsidDel="00000000" w:rsidP="00000000" w:rsidRDefault="00000000" w:rsidRPr="00000000" w14:paraId="0000002C">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Establecer la metodología para la informatización de la información administrativa respecto de asistencia del personal y liquidación de haberes.</w:t>
      </w:r>
    </w:p>
    <w:p w:rsidR="00000000" w:rsidDel="00000000" w:rsidP="00000000" w:rsidRDefault="00000000" w:rsidRPr="00000000" w14:paraId="0000002D">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2E">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ALCANCE</w:t>
      </w:r>
      <w:r w:rsidDel="00000000" w:rsidR="00000000" w:rsidRPr="00000000">
        <w:rPr>
          <w:rtl w:val="0"/>
        </w:rPr>
      </w:r>
    </w:p>
    <w:p w:rsidR="00000000" w:rsidDel="00000000" w:rsidP="00000000" w:rsidRDefault="00000000" w:rsidRPr="00000000" w14:paraId="0000002F">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Cubre los aspectos administrativos básicos de la primera etapa de operación de la planta a la vez que sienta las bases para el sistema administrativo consolidado.</w:t>
      </w:r>
    </w:p>
    <w:p w:rsidR="00000000" w:rsidDel="00000000" w:rsidP="00000000" w:rsidRDefault="00000000" w:rsidRPr="00000000" w14:paraId="00000030">
      <w:pPr>
        <w:ind w:left="360"/>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31">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DEFINICIONES</w:t>
      </w:r>
      <w:r w:rsidDel="00000000" w:rsidR="00000000" w:rsidRPr="00000000">
        <w:rPr>
          <w:rtl w:val="0"/>
        </w:rPr>
      </w:r>
    </w:p>
    <w:p w:rsidR="00000000" w:rsidDel="00000000" w:rsidP="00000000" w:rsidRDefault="00000000" w:rsidRPr="00000000" w14:paraId="00000032">
      <w:pPr>
        <w:contextualSpacing w:val="0"/>
        <w:jc w:val="both"/>
        <w:rPr>
          <w:rFonts w:ascii="Asap" w:cs="Asap" w:eastAsia="Asap" w:hAnsi="Asap"/>
          <w:i w:val="0"/>
          <w:sz w:val="24"/>
          <w:szCs w:val="24"/>
          <w:vertAlign w:val="baseline"/>
        </w:rPr>
      </w:pPr>
      <w:r w:rsidDel="00000000" w:rsidR="00000000" w:rsidRPr="00000000">
        <w:rPr>
          <w:rtl w:val="0"/>
        </w:rPr>
      </w:r>
    </w:p>
    <w:p w:rsidR="00000000" w:rsidDel="00000000" w:rsidP="00000000" w:rsidRDefault="00000000" w:rsidRPr="00000000" w14:paraId="00000033">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RESPONSABILIDADES</w:t>
      </w:r>
      <w:r w:rsidDel="00000000" w:rsidR="00000000" w:rsidRPr="00000000">
        <w:rPr>
          <w:rtl w:val="0"/>
        </w:rPr>
      </w:r>
    </w:p>
    <w:p w:rsidR="00000000" w:rsidDel="00000000" w:rsidP="00000000" w:rsidRDefault="00000000" w:rsidRPr="00000000" w14:paraId="00000034">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35">
      <w:pPr>
        <w:contextualSpacing w:val="0"/>
        <w:jc w:val="both"/>
        <w:rPr>
          <w:rFonts w:ascii="Asap" w:cs="Asap" w:eastAsia="Asap" w:hAnsi="Asap"/>
          <w:b w:val="1"/>
          <w:sz w:val="24"/>
          <w:szCs w:val="24"/>
        </w:rPr>
      </w:pPr>
      <w:r w:rsidDel="00000000" w:rsidR="00000000" w:rsidRPr="00000000">
        <w:rPr>
          <w:rtl w:val="0"/>
        </w:rPr>
      </w:r>
    </w:p>
    <w:p w:rsidR="00000000" w:rsidDel="00000000" w:rsidP="00000000" w:rsidRDefault="00000000" w:rsidRPr="00000000" w14:paraId="00000036">
      <w:pPr>
        <w:contextualSpacing w:val="0"/>
        <w:jc w:val="both"/>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De Administración </w:t>
      </w:r>
      <w:r w:rsidDel="00000000" w:rsidR="00000000" w:rsidRPr="00000000">
        <w:rPr>
          <w:rtl w:val="0"/>
        </w:rPr>
      </w:r>
    </w:p>
    <w:p w:rsidR="00000000" w:rsidDel="00000000" w:rsidP="00000000" w:rsidRDefault="00000000" w:rsidRPr="00000000" w14:paraId="00000037">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38">
      <w:pPr>
        <w:numPr>
          <w:ilvl w:val="0"/>
          <w:numId w:val="3"/>
        </w:numPr>
        <w:ind w:left="709" w:right="140" w:hanging="283"/>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Imprimir con un día de anticipación el formulario FA02 y verificar que el personal firme el correspondiente al día en curso al ingresar a la planta.</w:t>
      </w:r>
    </w:p>
    <w:p w:rsidR="00000000" w:rsidDel="00000000" w:rsidP="00000000" w:rsidRDefault="00000000" w:rsidRPr="00000000" w14:paraId="00000039">
      <w:pPr>
        <w:numPr>
          <w:ilvl w:val="0"/>
          <w:numId w:val="3"/>
        </w:numPr>
        <w:ind w:left="709" w:right="140" w:hanging="283"/>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Completar diariamente el formulario FA01 con las novedades que consten en el formulario FA02 incluyendo los adelantos de haberes que se entreguen en el día.</w:t>
      </w:r>
    </w:p>
    <w:p w:rsidR="00000000" w:rsidDel="00000000" w:rsidP="00000000" w:rsidRDefault="00000000" w:rsidRPr="00000000" w14:paraId="0000003A">
      <w:pPr>
        <w:numPr>
          <w:ilvl w:val="0"/>
          <w:numId w:val="3"/>
        </w:numPr>
        <w:ind w:left="709" w:right="140" w:hanging="283"/>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Imprimir quincenalmente el formulario FA03 y verificar que el personal la firme al momento de recibir el pago de haberes.</w:t>
      </w:r>
    </w:p>
    <w:p w:rsidR="00000000" w:rsidDel="00000000" w:rsidP="00000000" w:rsidRDefault="00000000" w:rsidRPr="00000000" w14:paraId="0000003B">
      <w:pPr>
        <w:contextualSpacing w:val="0"/>
        <w:jc w:val="both"/>
        <w:rPr>
          <w:rFonts w:ascii="Asap" w:cs="Asap" w:eastAsia="Asap" w:hAnsi="Asap"/>
          <w:b w:val="1"/>
          <w:sz w:val="24"/>
          <w:szCs w:val="24"/>
        </w:rPr>
      </w:pPr>
      <w:r w:rsidDel="00000000" w:rsidR="00000000" w:rsidRPr="00000000">
        <w:rPr>
          <w:rtl w:val="0"/>
        </w:rPr>
      </w:r>
    </w:p>
    <w:p w:rsidR="00000000" w:rsidDel="00000000" w:rsidP="00000000" w:rsidRDefault="00000000" w:rsidRPr="00000000" w14:paraId="0000003C">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PROCEDIMIENTO</w:t>
      </w:r>
      <w:r w:rsidDel="00000000" w:rsidR="00000000" w:rsidRPr="00000000">
        <w:rPr>
          <w:rtl w:val="0"/>
        </w:rPr>
      </w:r>
    </w:p>
    <w:p w:rsidR="00000000" w:rsidDel="00000000" w:rsidP="00000000" w:rsidRDefault="00000000" w:rsidRPr="00000000" w14:paraId="0000003D">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3E">
      <w:pPr>
        <w:contextualSpacing w:val="0"/>
        <w:jc w:val="both"/>
        <w:rPr>
          <w:rFonts w:ascii="Asap" w:cs="Asap" w:eastAsia="Asap" w:hAnsi="Asap"/>
          <w:sz w:val="24"/>
          <w:szCs w:val="24"/>
          <w:vertAlign w:val="baseline"/>
        </w:rPr>
      </w:pPr>
      <w:r w:rsidDel="00000000" w:rsidR="00000000" w:rsidRPr="00000000">
        <w:rPr>
          <w:rFonts w:ascii="Asap" w:cs="Asap" w:eastAsia="Asap" w:hAnsi="Asap"/>
          <w:b w:val="1"/>
          <w:i w:val="1"/>
          <w:sz w:val="24"/>
          <w:szCs w:val="24"/>
          <w:vertAlign w:val="baseline"/>
          <w:rtl w:val="0"/>
        </w:rPr>
        <w:t xml:space="preserve">Asistencia del Personal y liquidación de haberes:</w:t>
      </w:r>
      <w:r w:rsidDel="00000000" w:rsidR="00000000" w:rsidRPr="00000000">
        <w:rPr>
          <w:rFonts w:ascii="Asap" w:cs="Asap" w:eastAsia="Asap" w:hAnsi="Asap"/>
          <w:sz w:val="24"/>
          <w:szCs w:val="24"/>
          <w:vertAlign w:val="baseline"/>
          <w:rtl w:val="0"/>
        </w:rPr>
        <w:t xml:space="preserve"> la asistencia del personal debe tomarse diariamente y volcarse en el formulario FA01 registrando el presentismo según las referencias que figuran al pie de la misma (A – Ausente; P – Presente; AA – Ausente con aviso; etc.). Este formulario es quincenal, por lo que debe generarse uno nuevo cada quincena y almacenar el anterior para registro. La generación del nuevo formulario puede realizarse con la opción “Archivo-Guardar Como” asignándole un nuevo nombre (ej: 2 quincena enero). Este procedimiento crea un nuevo formulario manteniendo el anterior. </w:t>
      </w:r>
    </w:p>
    <w:p w:rsidR="00000000" w:rsidDel="00000000" w:rsidP="00000000" w:rsidRDefault="00000000" w:rsidRPr="00000000" w14:paraId="0000003F">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i w:val="0"/>
          <w:smallCaps w:val="0"/>
          <w:strike w:val="0"/>
          <w:color w:val="000000"/>
          <w:sz w:val="24"/>
          <w:szCs w:val="24"/>
          <w:u w:val="none"/>
          <w:shd w:fill="auto" w:val="clear"/>
          <w:vertAlign w:val="baseline"/>
          <w:rtl w:val="0"/>
        </w:rPr>
        <w:t xml:space="preserve">De manera automática, el formulario FA01 genera en hojas adjuntas el formulario FA02 (Asistencia diaria) que permite registrar la firma día a día del personal, el que deberá imprimirse diariamente para tal fin;  y el formulario FA03 (Liquidación de haberes) que resume la liquidación de haberes de la quincena de cada socio, el que deberá imprimirse y ser firmado por el personal a medida que se realiza la liquidación de haberes al final de la quincena.</w:t>
      </w:r>
    </w:p>
    <w:p w:rsidR="00000000" w:rsidDel="00000000" w:rsidP="00000000" w:rsidRDefault="00000000" w:rsidRPr="00000000" w14:paraId="00000041">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2">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Para el correcto funcionamiento de estos formularios es necesario completar correctamente cada casilla de asistencia con las letras exactas indicadas en la referencia, ya que cualquier carácter adicional, incluso espacios, provoca un funcionamiento incorrecto. Asimismo, deberán completarse los importes correctos por inasistencia y otros descuentos en las referencias del pie de la planilla para que pueda calcularse la liquidación de forma automática.</w:t>
      </w:r>
    </w:p>
    <w:p w:rsidR="00000000" w:rsidDel="00000000" w:rsidP="00000000" w:rsidRDefault="00000000" w:rsidRPr="00000000" w14:paraId="00000043">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4">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5">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REGISTROS</w:t>
      </w:r>
      <w:r w:rsidDel="00000000" w:rsidR="00000000" w:rsidRPr="00000000">
        <w:rPr>
          <w:rtl w:val="0"/>
        </w:rPr>
      </w:r>
    </w:p>
    <w:p w:rsidR="00000000" w:rsidDel="00000000" w:rsidP="00000000" w:rsidRDefault="00000000" w:rsidRPr="00000000" w14:paraId="00000046">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7">
      <w:pPr>
        <w:numPr>
          <w:ilvl w:val="0"/>
          <w:numId w:val="1"/>
        </w:numPr>
        <w:ind w:left="720" w:hanging="360"/>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FA01 Formulario de asistencia</w:t>
      </w:r>
    </w:p>
    <w:p w:rsidR="00000000" w:rsidDel="00000000" w:rsidP="00000000" w:rsidRDefault="00000000" w:rsidRPr="00000000" w14:paraId="00000048">
      <w:pPr>
        <w:numPr>
          <w:ilvl w:val="0"/>
          <w:numId w:val="1"/>
        </w:numPr>
        <w:ind w:left="720" w:hanging="360"/>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FA02 Formulario de asistencia diaria</w:t>
      </w:r>
    </w:p>
    <w:p w:rsidR="00000000" w:rsidDel="00000000" w:rsidP="00000000" w:rsidRDefault="00000000" w:rsidRPr="00000000" w14:paraId="00000049">
      <w:pPr>
        <w:numPr>
          <w:ilvl w:val="0"/>
          <w:numId w:val="1"/>
        </w:numPr>
        <w:ind w:left="720" w:hanging="360"/>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FA03 Formulario de liquidación de haberes</w:t>
      </w:r>
    </w:p>
    <w:p w:rsidR="00000000" w:rsidDel="00000000" w:rsidP="00000000" w:rsidRDefault="00000000" w:rsidRPr="00000000" w14:paraId="0000004A">
      <w:pPr>
        <w:ind w:left="360"/>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B">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ANEXOS</w:t>
      </w:r>
      <w:r w:rsidDel="00000000" w:rsidR="00000000" w:rsidRPr="00000000">
        <w:rPr>
          <w:rtl w:val="0"/>
        </w:rPr>
      </w:r>
    </w:p>
    <w:sectPr>
      <w:headerReference r:id="rId6" w:type="default"/>
      <w:footerReference r:id="rId7" w:type="default"/>
      <w:pgSz w:h="16840" w:w="11907"/>
      <w:pgMar w:bottom="1588" w:top="907" w:left="1418" w:right="851" w:header="68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Tahoma">
    <w:embedRegular w:fontKey="{00000000-0000-0000-0000-000000000000}" r:id="rId1" w:subsetted="0"/>
    <w:embedBold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Asap">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sz w:val="24"/>
        <w:szCs w:val="24"/>
        <w:vertAlign w:val="baseline"/>
      </w:rPr>
    </w:pPr>
    <w:r w:rsidDel="00000000" w:rsidR="00000000" w:rsidRPr="00000000">
      <w:rPr>
        <w:rtl w:val="0"/>
      </w:rPr>
    </w:r>
  </w:p>
  <w:tbl>
    <w:tblPr>
      <w:tblStyle w:val="Table1"/>
      <w:tblW w:w="9639.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4536"/>
      <w:gridCol w:w="2409"/>
      <w:tblGridChange w:id="0">
        <w:tblGrid>
          <w:gridCol w:w="2694"/>
          <w:gridCol w:w="4536"/>
          <w:gridCol w:w="2409"/>
        </w:tblGrid>
      </w:tblGridChange>
    </w:tblGrid>
    <w:tr>
      <w:trPr>
        <w:trHeight w:val="560" w:hRule="atLeast"/>
      </w:trPr>
      <w:tc>
        <w:tcPr>
          <w:vMerge w:val="restart"/>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sap" w:cs="Asap" w:eastAsia="Asap" w:hAnsi="Asap"/>
              <w:i w:val="0"/>
              <w:smallCaps w:val="0"/>
              <w:strike w:val="0"/>
              <w:color w:val="000000"/>
              <w:sz w:val="28"/>
              <w:szCs w:val="28"/>
              <w:u w:val="none"/>
              <w:shd w:fill="auto" w:val="clear"/>
              <w:vertAlign w:val="baseline"/>
            </w:rPr>
          </w:pPr>
          <w:r w:rsidDel="00000000" w:rsidR="00000000" w:rsidRPr="00000000">
            <w:rPr>
              <w:rFonts w:ascii="Asap" w:cs="Asap" w:eastAsia="Asap" w:hAnsi="Asap"/>
              <w:i w:val="0"/>
              <w:smallCaps w:val="0"/>
              <w:strike w:val="0"/>
              <w:color w:val="000000"/>
              <w:sz w:val="28"/>
              <w:szCs w:val="28"/>
              <w:u w:val="none"/>
              <w:shd w:fill="auto" w:val="clear"/>
              <w:vertAlign w:val="baseline"/>
              <w:rtl w:val="0"/>
            </w:rPr>
            <w:t xml:space="preserve">PLANTA</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contextualSpacing w:val="0"/>
            <w:jc w:val="center"/>
            <w:rPr>
              <w:rFonts w:ascii="Josefin Sans" w:cs="Josefin Sans" w:eastAsia="Josefin Sans" w:hAnsi="Josefin Sans"/>
              <w:i w:val="0"/>
              <w:smallCaps w:val="0"/>
              <w:strike w:val="0"/>
              <w:color w:val="000000"/>
              <w:sz w:val="28"/>
              <w:szCs w:val="28"/>
              <w:u w:val="none"/>
              <w:shd w:fill="auto" w:val="clear"/>
              <w:vertAlign w:val="baseline"/>
            </w:rPr>
          </w:pPr>
          <w:r w:rsidDel="00000000" w:rsidR="00000000" w:rsidRPr="00000000">
            <w:rPr>
              <w:rFonts w:ascii="Josefin Sans" w:cs="Josefin Sans" w:eastAsia="Josefin Sans" w:hAnsi="Josefin Sans"/>
              <w:i w:val="0"/>
              <w:smallCaps w:val="0"/>
              <w:strike w:val="0"/>
              <w:color w:val="000000"/>
              <w:sz w:val="28"/>
              <w:szCs w:val="28"/>
              <w:u w:val="none"/>
              <w:shd w:fill="auto" w:val="clear"/>
              <w:vertAlign w:val="baseline"/>
              <w:rtl w:val="0"/>
            </w:rPr>
            <w:t xml:space="preserve">PROCEDIMIENTO</w:t>
          </w:r>
        </w:p>
      </w:tc>
      <w:tc>
        <w:tcPr>
          <w:vMerge w:val="restart"/>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3">
          <w:pPr>
            <w:spacing w:after="160" w:line="259" w:lineRule="auto"/>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171450</wp:posOffset>
                </wp:positionH>
                <wp:positionV relativeFrom="paragraph">
                  <wp:posOffset>19050</wp:posOffset>
                </wp:positionV>
                <wp:extent cx="1153477" cy="454655"/>
                <wp:effectExtent b="0" l="0" r="0" t="0"/>
                <wp:wrapSquare wrapText="bothSides" distB="19050" distT="19050" distL="19050" distR="1905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53477" cy="454655"/>
                        </a:xfrm>
                        <a:prstGeom prst="rect"/>
                        <a:ln/>
                      </pic:spPr>
                    </pic:pic>
                  </a:graphicData>
                </a:graphic>
              </wp:anchor>
            </w:drawing>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00" w:hRule="atLeast"/>
      </w:trPr>
      <w:tc>
        <w:tcPr>
          <w:vMerge w:val="continue"/>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i w:val="0"/>
              <w:smallCaps w:val="0"/>
              <w:strike w:val="0"/>
              <w:color w:val="000000"/>
              <w:sz w:val="24"/>
              <w:szCs w:val="24"/>
              <w:u w:val="none"/>
              <w:shd w:fill="auto" w:val="clear"/>
              <w:vertAlign w:val="baseline"/>
              <w:rtl w:val="0"/>
            </w:rPr>
            <w:t xml:space="preserve">Asistencia de personal y liquidación de sueldos</w:t>
          </w:r>
        </w:p>
      </w:tc>
      <w:tc>
        <w:tcPr>
          <w:vMerge w:val="continue"/>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00" w:hRule="atLeast"/>
      </w:trPr>
      <w:tc>
        <w:tcPr>
          <w:vMerge w:val="continue"/>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3 </w:t>
          </w:r>
          <w:r w:rsidDel="00000000" w:rsidR="00000000" w:rsidRPr="00000000">
            <w:rPr>
              <w:rtl w:val="0"/>
            </w:rPr>
          </w:r>
        </w:p>
      </w:tc>
    </w:tr>
  </w:tb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08" w:firstLine="0"/>
      </w:pPr>
      <w:rPr>
        <w:rFonts w:ascii="Noto Sans Symbols" w:cs="Noto Sans Symbols" w:eastAsia="Noto Sans Symbols" w:hAnsi="Noto Sans Symbols"/>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Symbols" w:cs="Noto Sans Symbols" w:eastAsia="Noto Sans Symbols" w:hAnsi="Noto Sans Symbols"/>
        <w:vertAlign w:val="baseline"/>
      </w:rPr>
    </w:lvl>
    <w:lvl w:ilvl="3">
      <w:start w:val="1"/>
      <w:numFmt w:val="bullet"/>
      <w:lvlText w:val="●"/>
      <w:lvlJc w:val="left"/>
      <w:pPr>
        <w:ind w:left="3588" w:hanging="360"/>
      </w:pPr>
      <w:rPr>
        <w:rFonts w:ascii="Noto Sans Symbols" w:cs="Noto Sans Symbols" w:eastAsia="Noto Sans Symbols" w:hAnsi="Noto Sans Symbol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Symbols" w:cs="Noto Sans Symbols" w:eastAsia="Noto Sans Symbols" w:hAnsi="Noto Sans Symbols"/>
        <w:vertAlign w:val="baseline"/>
      </w:rPr>
    </w:lvl>
    <w:lvl w:ilvl="6">
      <w:start w:val="1"/>
      <w:numFmt w:val="bullet"/>
      <w:lvlText w:val="●"/>
      <w:lvlJc w:val="left"/>
      <w:pPr>
        <w:ind w:left="5748" w:hanging="360"/>
      </w:pPr>
      <w:rPr>
        <w:rFonts w:ascii="Noto Sans Symbols" w:cs="Noto Sans Symbols" w:eastAsia="Noto Sans Symbols" w:hAnsi="Noto Sans Symbol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JosefinSans-regular.ttf"/><Relationship Id="rId4" Type="http://schemas.openxmlformats.org/officeDocument/2006/relationships/font" Target="fonts/JosefinSans-bold.ttf"/><Relationship Id="rId10" Type="http://schemas.openxmlformats.org/officeDocument/2006/relationships/font" Target="fonts/Asap-boldItalic.ttf"/><Relationship Id="rId9" Type="http://schemas.openxmlformats.org/officeDocument/2006/relationships/font" Target="fonts/Asap-italic.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Asap-regular.ttf"/><Relationship Id="rId8" Type="http://schemas.openxmlformats.org/officeDocument/2006/relationships/font" Target="fonts/Asa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